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7D" w:rsidRDefault="0000577D">
      <w:pPr>
        <w:tabs>
          <w:tab w:val="left" w:pos="7371"/>
        </w:tabs>
      </w:pPr>
    </w:p>
    <w:p w:rsidR="0000577D" w:rsidRDefault="00272200">
      <w:pPr>
        <w:tabs>
          <w:tab w:val="left" w:pos="7371"/>
        </w:tabs>
        <w:ind w:right="397"/>
        <w:jc w:val="center"/>
      </w:pPr>
      <w:r>
        <w:rPr>
          <w:noProof/>
          <w:lang w:val="de-DE"/>
        </w:rPr>
        <w:drawing>
          <wp:inline distT="0" distB="0" distL="0" distR="0">
            <wp:extent cx="1276350" cy="406400"/>
            <wp:effectExtent l="0" t="0" r="0" b="0"/>
            <wp:docPr id="17" name="Bild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406400"/>
                    </a:xfrm>
                    <a:prstGeom prst="rect">
                      <a:avLst/>
                    </a:prstGeom>
                    <a:noFill/>
                    <a:ln>
                      <a:noFill/>
                    </a:ln>
                  </pic:spPr>
                </pic:pic>
              </a:graphicData>
            </a:graphic>
          </wp:inline>
        </w:drawing>
      </w:r>
    </w:p>
    <w:p w:rsidR="0000577D" w:rsidRPr="0000577D" w:rsidRDefault="0000577D" w:rsidP="0000577D">
      <w:pPr>
        <w:tabs>
          <w:tab w:val="left" w:pos="7371"/>
        </w:tabs>
        <w:spacing w:before="120"/>
        <w:ind w:right="397"/>
        <w:jc w:val="center"/>
        <w:rPr>
          <w:b/>
          <w:sz w:val="28"/>
          <w:szCs w:val="28"/>
        </w:rPr>
      </w:pPr>
      <w:r w:rsidRPr="0000577D">
        <w:rPr>
          <w:b/>
          <w:sz w:val="28"/>
          <w:szCs w:val="28"/>
        </w:rPr>
        <w:t>VOLLMACHT - POWER OF ATTORNEY</w:t>
      </w:r>
    </w:p>
    <w:p w:rsidR="0000577D" w:rsidRDefault="0000577D">
      <w:pPr>
        <w:tabs>
          <w:tab w:val="left" w:pos="7371"/>
        </w:tabs>
      </w:pPr>
    </w:p>
    <w:tbl>
      <w:tblPr>
        <w:tblW w:w="0" w:type="auto"/>
        <w:tblLayout w:type="fixed"/>
        <w:tblCellMar>
          <w:left w:w="70" w:type="dxa"/>
          <w:right w:w="70" w:type="dxa"/>
        </w:tblCellMar>
        <w:tblLook w:val="0000" w:firstRow="0" w:lastRow="0" w:firstColumn="0" w:lastColumn="0" w:noHBand="0" w:noVBand="0"/>
      </w:tblPr>
      <w:tblGrid>
        <w:gridCol w:w="5088"/>
        <w:gridCol w:w="4054"/>
      </w:tblGrid>
      <w:tr w:rsidR="0000577D">
        <w:tc>
          <w:tcPr>
            <w:tcW w:w="5088" w:type="dxa"/>
          </w:tcPr>
          <w:p w:rsidR="0000577D" w:rsidRDefault="0000577D">
            <w:pPr>
              <w:tabs>
                <w:tab w:val="left" w:pos="7371"/>
              </w:tabs>
              <w:jc w:val="center"/>
            </w:pPr>
            <w:r>
              <w:rPr>
                <w:b/>
                <w:sz w:val="20"/>
              </w:rPr>
              <w:t>Den Rechtsanwälten</w:t>
            </w:r>
          </w:p>
        </w:tc>
        <w:tc>
          <w:tcPr>
            <w:tcW w:w="4054" w:type="dxa"/>
          </w:tcPr>
          <w:p w:rsidR="0000577D" w:rsidRDefault="0000577D">
            <w:pPr>
              <w:tabs>
                <w:tab w:val="left" w:pos="7371"/>
              </w:tabs>
              <w:jc w:val="center"/>
              <w:rPr>
                <w:b/>
                <w:sz w:val="20"/>
              </w:rPr>
            </w:pPr>
            <w:r>
              <w:rPr>
                <w:b/>
                <w:sz w:val="20"/>
              </w:rPr>
              <w:t>The Attorneys at Law</w:t>
            </w:r>
          </w:p>
        </w:tc>
      </w:tr>
    </w:tbl>
    <w:p w:rsidR="0000577D" w:rsidRDefault="0000577D" w:rsidP="0000577D">
      <w:pPr>
        <w:tabs>
          <w:tab w:val="left" w:pos="2552"/>
          <w:tab w:val="left" w:pos="3969"/>
          <w:tab w:val="left" w:pos="4253"/>
          <w:tab w:val="left" w:pos="7371"/>
        </w:tabs>
        <w:spacing w:line="288" w:lineRule="atLeast"/>
        <w:jc w:val="center"/>
        <w:rPr>
          <w:sz w:val="22"/>
          <w:lang w:val="de-DE"/>
        </w:rPr>
      </w:pPr>
    </w:p>
    <w:p w:rsidR="0000577D" w:rsidRDefault="0000577D" w:rsidP="0000577D">
      <w:pPr>
        <w:tabs>
          <w:tab w:val="left" w:pos="2552"/>
          <w:tab w:val="left" w:pos="3969"/>
          <w:tab w:val="left" w:pos="4253"/>
          <w:tab w:val="left" w:pos="7371"/>
        </w:tabs>
        <w:spacing w:line="288" w:lineRule="atLeast"/>
        <w:jc w:val="center"/>
        <w:rPr>
          <w:sz w:val="22"/>
          <w:lang w:val="de-DE"/>
        </w:rPr>
      </w:pPr>
      <w:proofErr w:type="spellStart"/>
      <w:r>
        <w:rPr>
          <w:sz w:val="22"/>
          <w:lang w:val="de-DE"/>
        </w:rPr>
        <w:t>justitia</w:t>
      </w:r>
      <w:proofErr w:type="spellEnd"/>
      <w:r>
        <w:rPr>
          <w:sz w:val="22"/>
          <w:lang w:val="de-DE"/>
        </w:rPr>
        <w:t xml:space="preserve"> </w:t>
      </w:r>
      <w:proofErr w:type="spellStart"/>
      <w:r>
        <w:rPr>
          <w:sz w:val="22"/>
          <w:lang w:val="de-DE"/>
        </w:rPr>
        <w:t>PartGmb</w:t>
      </w:r>
      <w:r w:rsidR="00FD19DE">
        <w:rPr>
          <w:sz w:val="22"/>
          <w:lang w:val="de-DE"/>
        </w:rPr>
        <w:t>B</w:t>
      </w:r>
      <w:proofErr w:type="spellEnd"/>
    </w:p>
    <w:p w:rsidR="0000577D" w:rsidRPr="0000577D" w:rsidRDefault="0000577D" w:rsidP="0000577D">
      <w:pPr>
        <w:tabs>
          <w:tab w:val="left" w:pos="2552"/>
          <w:tab w:val="left" w:pos="3969"/>
          <w:tab w:val="left" w:pos="4253"/>
          <w:tab w:val="left" w:pos="7371"/>
        </w:tabs>
        <w:jc w:val="center"/>
        <w:rPr>
          <w:sz w:val="16"/>
          <w:szCs w:val="16"/>
          <w:lang w:val="de-DE"/>
        </w:rPr>
      </w:pPr>
      <w:r w:rsidRPr="0000577D">
        <w:rPr>
          <w:sz w:val="16"/>
          <w:szCs w:val="16"/>
          <w:lang w:val="de-DE"/>
        </w:rPr>
        <w:t xml:space="preserve">Rechtsanwälte </w:t>
      </w:r>
    </w:p>
    <w:p w:rsidR="0000577D" w:rsidRPr="0000577D" w:rsidRDefault="0000577D" w:rsidP="0000577D">
      <w:pPr>
        <w:tabs>
          <w:tab w:val="left" w:pos="2552"/>
          <w:tab w:val="left" w:pos="3969"/>
          <w:tab w:val="left" w:pos="4253"/>
          <w:tab w:val="left" w:pos="7371"/>
        </w:tabs>
        <w:jc w:val="center"/>
        <w:rPr>
          <w:sz w:val="16"/>
          <w:szCs w:val="16"/>
          <w:lang w:val="de-DE"/>
        </w:rPr>
      </w:pPr>
      <w:r w:rsidRPr="0000577D">
        <w:rPr>
          <w:sz w:val="16"/>
          <w:szCs w:val="16"/>
          <w:lang w:val="de-DE"/>
        </w:rPr>
        <w:t xml:space="preserve">Tillmann </w:t>
      </w:r>
      <w:r w:rsidR="00FD19DE">
        <w:rPr>
          <w:sz w:val="16"/>
          <w:szCs w:val="16"/>
          <w:lang w:val="de-DE"/>
        </w:rPr>
        <w:sym w:font="Wingdings" w:char="F09E"/>
      </w:r>
      <w:r w:rsidR="00FD19DE">
        <w:rPr>
          <w:sz w:val="16"/>
          <w:szCs w:val="16"/>
          <w:lang w:val="de-DE"/>
        </w:rPr>
        <w:t xml:space="preserve"> </w:t>
      </w:r>
      <w:r w:rsidRPr="0000577D">
        <w:rPr>
          <w:sz w:val="16"/>
          <w:szCs w:val="16"/>
          <w:lang w:val="de-DE"/>
        </w:rPr>
        <w:t xml:space="preserve">Heene </w:t>
      </w:r>
      <w:r w:rsidR="00FD19DE">
        <w:rPr>
          <w:sz w:val="16"/>
          <w:szCs w:val="16"/>
          <w:lang w:val="de-DE"/>
        </w:rPr>
        <w:sym w:font="Wingdings" w:char="F09E"/>
      </w:r>
      <w:r w:rsidR="00FD19DE">
        <w:rPr>
          <w:sz w:val="16"/>
          <w:szCs w:val="16"/>
          <w:lang w:val="de-DE"/>
        </w:rPr>
        <w:t xml:space="preserve"> </w:t>
      </w:r>
      <w:proofErr w:type="spellStart"/>
      <w:r w:rsidRPr="0000577D">
        <w:rPr>
          <w:sz w:val="16"/>
          <w:szCs w:val="16"/>
          <w:lang w:val="de-DE"/>
        </w:rPr>
        <w:t>Hillesheim</w:t>
      </w:r>
      <w:proofErr w:type="spellEnd"/>
    </w:p>
    <w:p w:rsidR="0000577D" w:rsidRPr="0000577D" w:rsidRDefault="00FD19DE" w:rsidP="0000577D">
      <w:pPr>
        <w:tabs>
          <w:tab w:val="left" w:pos="2552"/>
          <w:tab w:val="left" w:pos="3969"/>
          <w:tab w:val="left" w:pos="4253"/>
          <w:tab w:val="left" w:pos="7371"/>
        </w:tabs>
        <w:jc w:val="center"/>
        <w:rPr>
          <w:sz w:val="16"/>
          <w:szCs w:val="16"/>
          <w:lang w:val="de-DE"/>
        </w:rPr>
      </w:pPr>
      <w:r>
        <w:rPr>
          <w:sz w:val="16"/>
          <w:szCs w:val="16"/>
          <w:lang w:val="de-DE"/>
        </w:rPr>
        <w:t xml:space="preserve">Mozartstraße 18, </w:t>
      </w:r>
      <w:r w:rsidR="0000577D" w:rsidRPr="0000577D">
        <w:rPr>
          <w:sz w:val="16"/>
          <w:szCs w:val="16"/>
          <w:lang w:val="de-DE"/>
        </w:rPr>
        <w:t>80336 München</w:t>
      </w:r>
    </w:p>
    <w:p w:rsidR="0000577D" w:rsidRDefault="0000577D">
      <w:pPr>
        <w:tabs>
          <w:tab w:val="left" w:pos="1560"/>
          <w:tab w:val="left" w:pos="2552"/>
          <w:tab w:val="left" w:pos="7371"/>
          <w:tab w:val="left" w:pos="8222"/>
        </w:tabs>
        <w:spacing w:line="288" w:lineRule="atLeast"/>
        <w:jc w:val="center"/>
        <w:rPr>
          <w:b/>
          <w:lang w:val="de-DE"/>
        </w:rPr>
      </w:pPr>
      <w:r>
        <w:rPr>
          <w:b/>
          <w:sz w:val="20"/>
          <w:lang w:val="de-DE"/>
        </w:rPr>
        <w:tab/>
      </w:r>
    </w:p>
    <w:tbl>
      <w:tblPr>
        <w:tblW w:w="0" w:type="auto"/>
        <w:tblLayout w:type="fixed"/>
        <w:tblCellMar>
          <w:left w:w="142" w:type="dxa"/>
          <w:right w:w="142" w:type="dxa"/>
        </w:tblCellMar>
        <w:tblLook w:val="0000" w:firstRow="0" w:lastRow="0" w:firstColumn="0" w:lastColumn="0" w:noHBand="0" w:noVBand="0"/>
      </w:tblPr>
      <w:tblGrid>
        <w:gridCol w:w="4933"/>
        <w:gridCol w:w="4820"/>
        <w:gridCol w:w="28"/>
      </w:tblGrid>
      <w:tr w:rsidR="0000577D">
        <w:trPr>
          <w:gridAfter w:val="1"/>
          <w:wAfter w:w="28" w:type="dxa"/>
          <w:cantSplit/>
        </w:trPr>
        <w:tc>
          <w:tcPr>
            <w:tcW w:w="4933" w:type="dxa"/>
          </w:tcPr>
          <w:p w:rsidR="0000577D" w:rsidRDefault="0000577D">
            <w:pPr>
              <w:tabs>
                <w:tab w:val="left" w:pos="3828"/>
                <w:tab w:val="left" w:pos="7371"/>
              </w:tabs>
              <w:rPr>
                <w:b/>
                <w:sz w:val="16"/>
                <w:lang w:val="de-DE"/>
              </w:rPr>
            </w:pPr>
            <w:r>
              <w:rPr>
                <w:sz w:val="20"/>
                <w:lang w:val="de-DE"/>
              </w:rPr>
              <w:t xml:space="preserve">        </w:t>
            </w:r>
            <w:r>
              <w:rPr>
                <w:b/>
                <w:sz w:val="16"/>
                <w:lang w:val="de-DE"/>
              </w:rPr>
              <w:t xml:space="preserve">wird hiermit umfassende Vollmacht erteilt in Sachen :                                    </w:t>
            </w:r>
          </w:p>
          <w:p w:rsidR="0000577D" w:rsidRDefault="0000577D">
            <w:pPr>
              <w:tabs>
                <w:tab w:val="left" w:pos="2694"/>
                <w:tab w:val="left" w:pos="7371"/>
              </w:tabs>
              <w:jc w:val="both"/>
              <w:rPr>
                <w:b/>
                <w:sz w:val="16"/>
                <w:lang w:val="de-DE"/>
              </w:rPr>
            </w:pPr>
          </w:p>
        </w:tc>
        <w:tc>
          <w:tcPr>
            <w:tcW w:w="4820" w:type="dxa"/>
          </w:tcPr>
          <w:p w:rsidR="0000577D" w:rsidRDefault="0000577D">
            <w:pPr>
              <w:tabs>
                <w:tab w:val="left" w:pos="3828"/>
                <w:tab w:val="left" w:pos="7371"/>
              </w:tabs>
              <w:jc w:val="both"/>
              <w:rPr>
                <w:sz w:val="16"/>
              </w:rPr>
            </w:pPr>
            <w:r>
              <w:rPr>
                <w:b/>
                <w:sz w:val="16"/>
              </w:rPr>
              <w:t>are hereby granted full power of attorney regarding the following matters:</w:t>
            </w:r>
            <w:r>
              <w:rPr>
                <w:sz w:val="16"/>
              </w:rPr>
              <w:t xml:space="preserve">  </w:t>
            </w:r>
          </w:p>
          <w:p w:rsidR="0000577D" w:rsidRDefault="0000577D">
            <w:pPr>
              <w:tabs>
                <w:tab w:val="left" w:pos="3828"/>
                <w:tab w:val="left" w:pos="7371"/>
              </w:tabs>
              <w:jc w:val="both"/>
              <w:rPr>
                <w:sz w:val="16"/>
                <w:lang w:val="en-GB"/>
              </w:rPr>
            </w:pPr>
          </w:p>
        </w:tc>
      </w:tr>
      <w:tr w:rsidR="0000577D" w:rsidRPr="00FD19DE">
        <w:trPr>
          <w:cantSplit/>
        </w:trPr>
        <w:tc>
          <w:tcPr>
            <w:tcW w:w="9781" w:type="dxa"/>
            <w:gridSpan w:val="3"/>
            <w:tcBorders>
              <w:top w:val="single" w:sz="12" w:space="0" w:color="auto"/>
              <w:left w:val="single" w:sz="12" w:space="0" w:color="auto"/>
              <w:bottom w:val="single" w:sz="12" w:space="0" w:color="auto"/>
              <w:right w:val="single" w:sz="12" w:space="0" w:color="auto"/>
            </w:tcBorders>
          </w:tcPr>
          <w:p w:rsidR="0000577D" w:rsidRDefault="0000577D">
            <w:pPr>
              <w:tabs>
                <w:tab w:val="left" w:pos="2694"/>
                <w:tab w:val="left" w:pos="7371"/>
              </w:tabs>
              <w:rPr>
                <w:sz w:val="16"/>
              </w:rPr>
            </w:pPr>
          </w:p>
          <w:p w:rsidR="0000577D" w:rsidRDefault="0000577D">
            <w:pPr>
              <w:tabs>
                <w:tab w:val="left" w:pos="7371"/>
              </w:tabs>
              <w:jc w:val="center"/>
              <w:rPr>
                <w:sz w:val="16"/>
                <w:lang w:val="de-DE"/>
              </w:rPr>
            </w:pPr>
            <w:r>
              <w:rPr>
                <w:sz w:val="16"/>
              </w:rPr>
              <w:fldChar w:fldCharType="begin">
                <w:ffData>
                  <w:name w:val="Text1"/>
                  <w:enabled/>
                  <w:calcOnExit w:val="0"/>
                  <w:textInput>
                    <w:default w:val="Geben Sie hier die Bezeichnung Ihres Falls an. Zum nächsten Feld mit &quot;Tab-Taste&quot;"/>
                  </w:textInput>
                </w:ffData>
              </w:fldChar>
            </w:r>
            <w:bookmarkStart w:id="0" w:name="Text1"/>
            <w:r>
              <w:rPr>
                <w:sz w:val="16"/>
                <w:lang w:val="de-DE"/>
              </w:rPr>
              <w:instrText xml:space="preserve"> FORMTEXT </w:instrText>
            </w:r>
            <w:r>
              <w:rPr>
                <w:sz w:val="16"/>
              </w:rPr>
            </w:r>
            <w:r>
              <w:rPr>
                <w:sz w:val="16"/>
              </w:rPr>
              <w:fldChar w:fldCharType="separate"/>
            </w:r>
            <w:r>
              <w:rPr>
                <w:noProof/>
                <w:sz w:val="16"/>
                <w:lang w:val="de-DE"/>
              </w:rPr>
              <w:t>Geben Sie hier die Bezeichnung Ihres Falls an. Zum nächsten Feld mit "Tab-Taste"</w:t>
            </w:r>
            <w:r>
              <w:rPr>
                <w:sz w:val="16"/>
              </w:rPr>
              <w:fldChar w:fldCharType="end"/>
            </w:r>
            <w:bookmarkEnd w:id="0"/>
          </w:p>
          <w:p w:rsidR="0000577D" w:rsidRDefault="0000577D">
            <w:pPr>
              <w:tabs>
                <w:tab w:val="left" w:pos="7371"/>
              </w:tabs>
              <w:rPr>
                <w:sz w:val="16"/>
                <w:lang w:val="de-DE"/>
              </w:rPr>
            </w:pPr>
          </w:p>
        </w:tc>
      </w:tr>
      <w:tr w:rsidR="0000577D" w:rsidRPr="00FD19DE">
        <w:trPr>
          <w:gridAfter w:val="1"/>
          <w:wAfter w:w="28" w:type="dxa"/>
          <w:cantSplit/>
        </w:trPr>
        <w:tc>
          <w:tcPr>
            <w:tcW w:w="4933" w:type="dxa"/>
          </w:tcPr>
          <w:p w:rsidR="0000577D" w:rsidRDefault="0000577D">
            <w:pPr>
              <w:tabs>
                <w:tab w:val="left" w:pos="2694"/>
                <w:tab w:val="left" w:pos="7371"/>
              </w:tabs>
              <w:jc w:val="both"/>
              <w:rPr>
                <w:sz w:val="16"/>
                <w:lang w:val="de-DE"/>
              </w:rPr>
            </w:pPr>
          </w:p>
        </w:tc>
        <w:tc>
          <w:tcPr>
            <w:tcW w:w="4820" w:type="dxa"/>
          </w:tcPr>
          <w:p w:rsidR="0000577D" w:rsidRDefault="0000577D">
            <w:pPr>
              <w:tabs>
                <w:tab w:val="left" w:pos="7371"/>
              </w:tabs>
              <w:jc w:val="both"/>
              <w:rPr>
                <w:sz w:val="16"/>
                <w:lang w:val="de-DE"/>
              </w:rPr>
            </w:pPr>
          </w:p>
        </w:tc>
      </w:tr>
      <w:tr w:rsidR="0000577D">
        <w:trPr>
          <w:gridAfter w:val="1"/>
          <w:wAfter w:w="28" w:type="dxa"/>
          <w:cantSplit/>
        </w:trPr>
        <w:tc>
          <w:tcPr>
            <w:tcW w:w="4933" w:type="dxa"/>
          </w:tcPr>
          <w:p w:rsidR="0000577D" w:rsidRDefault="0000577D" w:rsidP="00FD19DE">
            <w:pPr>
              <w:tabs>
                <w:tab w:val="left" w:pos="2694"/>
                <w:tab w:val="left" w:pos="7371"/>
              </w:tabs>
              <w:jc w:val="both"/>
              <w:rPr>
                <w:sz w:val="16"/>
                <w:lang w:val="de-DE"/>
              </w:rPr>
            </w:pPr>
            <w:r>
              <w:rPr>
                <w:sz w:val="16"/>
                <w:lang w:val="de-DE"/>
              </w:rPr>
              <w:t>1. zur Proze</w:t>
            </w:r>
            <w:r w:rsidR="00FD19DE">
              <w:rPr>
                <w:sz w:val="16"/>
                <w:lang w:val="de-DE"/>
              </w:rPr>
              <w:t>ss</w:t>
            </w:r>
            <w:r>
              <w:rPr>
                <w:sz w:val="16"/>
                <w:lang w:val="de-DE"/>
              </w:rPr>
              <w:t>führung (u.a. nach §§ 81 ff. ZPO) einschließlich der Befugnis zur Erhebung und Zurücknahme von Widerklagen;</w:t>
            </w:r>
          </w:p>
        </w:tc>
        <w:tc>
          <w:tcPr>
            <w:tcW w:w="4820" w:type="dxa"/>
          </w:tcPr>
          <w:p w:rsidR="0000577D" w:rsidRDefault="0000577D">
            <w:pPr>
              <w:tabs>
                <w:tab w:val="left" w:pos="7371"/>
              </w:tabs>
              <w:jc w:val="both"/>
              <w:rPr>
                <w:sz w:val="16"/>
                <w:lang w:val="en-GB"/>
              </w:rPr>
            </w:pPr>
            <w:r>
              <w:rPr>
                <w:sz w:val="16"/>
                <w:lang w:val="en-GB"/>
              </w:rPr>
              <w:t>1. to conduct litigation (acc. to §§ 81 et seq. ZPO) including the authority to file and withdraw counterclaims;</w:t>
            </w:r>
          </w:p>
        </w:tc>
      </w:tr>
      <w:tr w:rsidR="0000577D">
        <w:trPr>
          <w:gridAfter w:val="1"/>
          <w:wAfter w:w="28" w:type="dxa"/>
          <w:cantSplit/>
        </w:trPr>
        <w:tc>
          <w:tcPr>
            <w:tcW w:w="4933" w:type="dxa"/>
          </w:tcPr>
          <w:p w:rsidR="0000577D" w:rsidRDefault="0000577D">
            <w:pPr>
              <w:tabs>
                <w:tab w:val="left" w:pos="7371"/>
              </w:tabs>
              <w:jc w:val="both"/>
              <w:rPr>
                <w:sz w:val="16"/>
              </w:rPr>
            </w:pPr>
          </w:p>
          <w:p w:rsidR="0000577D" w:rsidRDefault="0000577D">
            <w:pPr>
              <w:tabs>
                <w:tab w:val="left" w:pos="7371"/>
              </w:tabs>
              <w:jc w:val="both"/>
              <w:rPr>
                <w:sz w:val="16"/>
                <w:lang w:val="de-DE"/>
              </w:rPr>
            </w:pPr>
            <w:r>
              <w:rPr>
                <w:sz w:val="16"/>
                <w:lang w:val="de-DE"/>
              </w:rPr>
              <w:t xml:space="preserve">2. zur Antragstellung in Scheidungs- und </w:t>
            </w:r>
            <w:proofErr w:type="spellStart"/>
            <w:r>
              <w:rPr>
                <w:sz w:val="16"/>
                <w:lang w:val="de-DE"/>
              </w:rPr>
              <w:t>Sche</w:t>
            </w:r>
            <w:r w:rsidR="00FD19DE">
              <w:rPr>
                <w:sz w:val="16"/>
                <w:lang w:val="de-DE"/>
              </w:rPr>
              <w:t>idungsfolgesa</w:t>
            </w:r>
            <w:r w:rsidR="00FD19DE">
              <w:rPr>
                <w:sz w:val="16"/>
                <w:lang w:val="de-DE"/>
              </w:rPr>
              <w:softHyphen/>
              <w:t>chen</w:t>
            </w:r>
            <w:proofErr w:type="spellEnd"/>
            <w:r w:rsidR="00FD19DE">
              <w:rPr>
                <w:sz w:val="16"/>
                <w:lang w:val="de-DE"/>
              </w:rPr>
              <w:t>, zum Abschluss</w:t>
            </w:r>
            <w:r>
              <w:rPr>
                <w:sz w:val="16"/>
                <w:lang w:val="de-DE"/>
              </w:rPr>
              <w:t xml:space="preserve"> von Vereinbarungen über </w:t>
            </w:r>
            <w:proofErr w:type="spellStart"/>
            <w:r>
              <w:rPr>
                <w:sz w:val="16"/>
                <w:lang w:val="de-DE"/>
              </w:rPr>
              <w:t>Scheidungs</w:t>
            </w:r>
            <w:r w:rsidR="00FD19DE">
              <w:rPr>
                <w:sz w:val="16"/>
                <w:lang w:val="de-DE"/>
              </w:rPr>
              <w:softHyphen/>
            </w:r>
            <w:r>
              <w:rPr>
                <w:sz w:val="16"/>
                <w:lang w:val="de-DE"/>
              </w:rPr>
              <w:t>folgen</w:t>
            </w:r>
            <w:proofErr w:type="spellEnd"/>
            <w:r>
              <w:rPr>
                <w:sz w:val="16"/>
                <w:lang w:val="de-DE"/>
              </w:rPr>
              <w:t xml:space="preserve"> sowie zur Stellung von Anträgen auf Erteilung von Renten- und sonstigen Versorgungsauskünften;</w:t>
            </w:r>
          </w:p>
        </w:tc>
        <w:tc>
          <w:tcPr>
            <w:tcW w:w="4820" w:type="dxa"/>
          </w:tcPr>
          <w:p w:rsidR="0000577D" w:rsidRDefault="0000577D">
            <w:pPr>
              <w:tabs>
                <w:tab w:val="left" w:pos="7371"/>
              </w:tabs>
              <w:jc w:val="both"/>
              <w:rPr>
                <w:sz w:val="16"/>
                <w:lang w:val="de-DE"/>
              </w:rPr>
            </w:pPr>
          </w:p>
          <w:p w:rsidR="0000577D" w:rsidRDefault="0000577D">
            <w:pPr>
              <w:tabs>
                <w:tab w:val="left" w:pos="7371"/>
              </w:tabs>
              <w:jc w:val="both"/>
              <w:rPr>
                <w:sz w:val="16"/>
                <w:lang w:val="en-GB"/>
              </w:rPr>
            </w:pPr>
            <w:r>
              <w:rPr>
                <w:sz w:val="16"/>
                <w:lang w:val="en-GB"/>
              </w:rPr>
              <w:t>2. to file a divorce petition and a petition regarding ancillary consequential matters of a divorce, to conclude settlement of legal consequences of divorce, as well as to apply for information regarding pensions and other forms of provision or support;</w:t>
            </w:r>
          </w:p>
        </w:tc>
      </w:tr>
      <w:tr w:rsidR="0000577D">
        <w:trPr>
          <w:gridAfter w:val="1"/>
          <w:wAfter w:w="28" w:type="dxa"/>
          <w:cantSplit/>
          <w:trHeight w:val="2115"/>
        </w:trPr>
        <w:tc>
          <w:tcPr>
            <w:tcW w:w="4933" w:type="dxa"/>
          </w:tcPr>
          <w:p w:rsidR="0000577D" w:rsidRDefault="0000577D">
            <w:pPr>
              <w:tabs>
                <w:tab w:val="left" w:pos="7371"/>
              </w:tabs>
              <w:jc w:val="both"/>
              <w:rPr>
                <w:sz w:val="16"/>
              </w:rPr>
            </w:pPr>
          </w:p>
          <w:p w:rsidR="0000577D" w:rsidRDefault="0000577D" w:rsidP="00FD19DE">
            <w:pPr>
              <w:tabs>
                <w:tab w:val="left" w:pos="7371"/>
              </w:tabs>
              <w:jc w:val="both"/>
              <w:rPr>
                <w:sz w:val="16"/>
                <w:lang w:val="de-DE"/>
              </w:rPr>
            </w:pPr>
            <w:r>
              <w:rPr>
                <w:sz w:val="16"/>
                <w:lang w:val="de-DE"/>
              </w:rPr>
              <w:t>3. zur Vertretung und Verteidigung in Strafsachen und Bußgeld</w:t>
            </w:r>
            <w:r>
              <w:rPr>
                <w:sz w:val="16"/>
                <w:lang w:val="de-DE"/>
              </w:rPr>
              <w:softHyphen/>
              <w:t>sachen (§§ 302, 374 StPO) einschließlich der Vorverfahren sowie (für den Fall der Abwesenheit) zur Vertretung nach § 411 II StPO, mit ausdrücklicher Ermächtigung auch nach §§ 233 I, 234 StPO sowie mit ausdrücklicher Ermächtigung zur Empfang</w:t>
            </w:r>
            <w:r>
              <w:rPr>
                <w:sz w:val="16"/>
                <w:lang w:val="de-DE"/>
              </w:rPr>
              <w:softHyphen/>
              <w:t>nahme von Ladungen nach § 145 a II StPO, zur Stellung von Straf- und anderen nach der Strafproze</w:t>
            </w:r>
            <w:r w:rsidR="00FD19DE">
              <w:rPr>
                <w:sz w:val="16"/>
                <w:lang w:val="de-DE"/>
              </w:rPr>
              <w:t>ss</w:t>
            </w:r>
            <w:r>
              <w:rPr>
                <w:sz w:val="16"/>
                <w:lang w:val="de-DE"/>
              </w:rPr>
              <w:t>ordnung zulässigen Anträgen und von Anträgen nach dem Gesetz über die Ent</w:t>
            </w:r>
            <w:r>
              <w:rPr>
                <w:sz w:val="16"/>
                <w:lang w:val="de-DE"/>
              </w:rPr>
              <w:softHyphen/>
              <w:t>schädigung für Strafver</w:t>
            </w:r>
            <w:r>
              <w:rPr>
                <w:sz w:val="16"/>
                <w:lang w:val="de-DE"/>
              </w:rPr>
              <w:softHyphen/>
              <w:t>folgungsmaßnahmen, insbesondere auch für das Betragsverfahren;</w:t>
            </w:r>
          </w:p>
        </w:tc>
        <w:tc>
          <w:tcPr>
            <w:tcW w:w="4820" w:type="dxa"/>
          </w:tcPr>
          <w:p w:rsidR="0000577D" w:rsidRDefault="0000577D">
            <w:pPr>
              <w:tabs>
                <w:tab w:val="left" w:pos="7371"/>
              </w:tabs>
              <w:jc w:val="both"/>
              <w:rPr>
                <w:sz w:val="16"/>
                <w:lang w:val="de-DE"/>
              </w:rPr>
            </w:pPr>
          </w:p>
          <w:p w:rsidR="0000577D" w:rsidRDefault="0000577D">
            <w:pPr>
              <w:tabs>
                <w:tab w:val="left" w:pos="7371"/>
              </w:tabs>
              <w:jc w:val="both"/>
              <w:rPr>
                <w:sz w:val="16"/>
                <w:lang w:val="en-GB"/>
              </w:rPr>
            </w:pPr>
            <w:r>
              <w:rPr>
                <w:sz w:val="16"/>
                <w:lang w:val="en-GB"/>
              </w:rPr>
              <w:t xml:space="preserve">3. </w:t>
            </w:r>
            <w:proofErr w:type="gramStart"/>
            <w:r>
              <w:rPr>
                <w:sz w:val="16"/>
                <w:lang w:val="en-GB"/>
              </w:rPr>
              <w:t>to</w:t>
            </w:r>
            <w:proofErr w:type="gramEnd"/>
            <w:r>
              <w:rPr>
                <w:sz w:val="16"/>
                <w:lang w:val="en-GB"/>
              </w:rPr>
              <w:t xml:space="preserve"> represent and defend in criminal cases and summary offences (§§ 302, 374 StPO) including preliminary proceedings and to represent (in case of absence) according to § 411 II StPO, when specifically authorized, also according to §§ 233 I, 234 StPO. Further, to receive summons according to § 145 a II StPO when specifically authorized, to initiate prosecution and to file other petitions that are permitted under the Code of Criminal Procedure; also to file petitions in accordance with the law governing compensation for prosecution, in particular as regards separate proceedings concerning the amount of a claim.</w:t>
            </w:r>
          </w:p>
        </w:tc>
      </w:tr>
      <w:tr w:rsidR="0000577D">
        <w:trPr>
          <w:gridAfter w:val="1"/>
          <w:wAfter w:w="28" w:type="dxa"/>
          <w:cantSplit/>
        </w:trPr>
        <w:tc>
          <w:tcPr>
            <w:tcW w:w="4933" w:type="dxa"/>
          </w:tcPr>
          <w:p w:rsidR="0000577D" w:rsidRDefault="0000577D">
            <w:pPr>
              <w:tabs>
                <w:tab w:val="left" w:pos="7371"/>
              </w:tabs>
              <w:jc w:val="both"/>
              <w:rPr>
                <w:sz w:val="16"/>
              </w:rPr>
            </w:pPr>
          </w:p>
          <w:p w:rsidR="0000577D" w:rsidRDefault="0000577D">
            <w:pPr>
              <w:tabs>
                <w:tab w:val="left" w:pos="7371"/>
              </w:tabs>
              <w:jc w:val="both"/>
              <w:rPr>
                <w:sz w:val="16"/>
                <w:lang w:val="de-DE"/>
              </w:rPr>
            </w:pPr>
            <w:r>
              <w:rPr>
                <w:sz w:val="16"/>
                <w:lang w:val="de-DE"/>
              </w:rPr>
              <w:t>4. zur Vertretung in sonstigen Verfahren und bei außergerichtli</w:t>
            </w:r>
            <w:r>
              <w:rPr>
                <w:sz w:val="16"/>
                <w:lang w:val="de-DE"/>
              </w:rPr>
              <w:softHyphen/>
              <w:t>chen Tätigkeiten aller Art (insbesondere in Unfallsachen zur Geltendmachung von Ansprüchen gegen Schädiger, Fahrzeug</w:t>
            </w:r>
            <w:r>
              <w:rPr>
                <w:sz w:val="16"/>
                <w:lang w:val="de-DE"/>
              </w:rPr>
              <w:softHyphen/>
              <w:t>halter und deren Versicherer).</w:t>
            </w:r>
          </w:p>
        </w:tc>
        <w:tc>
          <w:tcPr>
            <w:tcW w:w="4820" w:type="dxa"/>
          </w:tcPr>
          <w:p w:rsidR="0000577D" w:rsidRDefault="0000577D">
            <w:pPr>
              <w:tabs>
                <w:tab w:val="left" w:pos="7371"/>
              </w:tabs>
              <w:jc w:val="both"/>
              <w:rPr>
                <w:sz w:val="16"/>
                <w:lang w:val="de-DE"/>
              </w:rPr>
            </w:pPr>
          </w:p>
          <w:p w:rsidR="0000577D" w:rsidRDefault="0000577D">
            <w:pPr>
              <w:tabs>
                <w:tab w:val="left" w:pos="7371"/>
              </w:tabs>
              <w:jc w:val="both"/>
              <w:rPr>
                <w:sz w:val="16"/>
                <w:lang w:val="en-GB"/>
              </w:rPr>
            </w:pPr>
            <w:r>
              <w:rPr>
                <w:sz w:val="16"/>
                <w:lang w:val="en-GB"/>
              </w:rPr>
              <w:t>4. to represent in other proceedings and in all kinds of extraju</w:t>
            </w:r>
            <w:r>
              <w:rPr>
                <w:sz w:val="16"/>
                <w:lang w:val="en-GB"/>
              </w:rPr>
              <w:softHyphen/>
              <w:t>dicial settlements (particularly in matters arising from accidents to assert claims against the damaging party, the registered users of motor vehicles and their insurers).</w:t>
            </w:r>
          </w:p>
        </w:tc>
      </w:tr>
      <w:tr w:rsidR="0000577D">
        <w:trPr>
          <w:gridAfter w:val="1"/>
          <w:wAfter w:w="28" w:type="dxa"/>
          <w:cantSplit/>
        </w:trPr>
        <w:tc>
          <w:tcPr>
            <w:tcW w:w="4933" w:type="dxa"/>
          </w:tcPr>
          <w:p w:rsidR="0000577D" w:rsidRDefault="0000577D">
            <w:pPr>
              <w:tabs>
                <w:tab w:val="left" w:pos="7371"/>
              </w:tabs>
              <w:jc w:val="both"/>
              <w:rPr>
                <w:sz w:val="16"/>
              </w:rPr>
            </w:pPr>
          </w:p>
          <w:p w:rsidR="0000577D" w:rsidRDefault="0000577D">
            <w:pPr>
              <w:tabs>
                <w:tab w:val="left" w:pos="7371"/>
              </w:tabs>
              <w:jc w:val="both"/>
              <w:rPr>
                <w:sz w:val="16"/>
                <w:lang w:val="de-DE"/>
              </w:rPr>
            </w:pPr>
            <w:r>
              <w:rPr>
                <w:sz w:val="16"/>
                <w:lang w:val="de-DE"/>
              </w:rPr>
              <w:t>Die Vollmacht gilt für alle Instanzen und erstreckt sich auch auf Neben- und Folgeverfahren aller Art (z. B. Arrest und einstweilige Verfügung, Kostenfestsetzungs-, Zwangsvollstreckungs-, Inter</w:t>
            </w:r>
            <w:r>
              <w:rPr>
                <w:sz w:val="16"/>
                <w:lang w:val="de-DE"/>
              </w:rPr>
              <w:softHyphen/>
              <w:t>ventions-, Zwangsversteigerungs-, Zwangsverwaltungs- und Hinterlegungsverfahren sowie Konkurs- und Vergleichsverfahren über das Vermögen des Gegners). Sie umfa</w:t>
            </w:r>
            <w:r w:rsidR="00302DE8">
              <w:rPr>
                <w:sz w:val="16"/>
                <w:lang w:val="de-DE"/>
              </w:rPr>
              <w:t>ss</w:t>
            </w:r>
            <w:r>
              <w:rPr>
                <w:sz w:val="16"/>
                <w:lang w:val="de-DE"/>
              </w:rPr>
              <w:t>t insbesondere die Befugnis zur Abgabe und Entgegennahme einseitiger Willenserklärungen (z.</w:t>
            </w:r>
            <w:r w:rsidR="00302DE8">
              <w:rPr>
                <w:sz w:val="16"/>
                <w:lang w:val="de-DE"/>
              </w:rPr>
              <w:t xml:space="preserve"> </w:t>
            </w:r>
            <w:r>
              <w:rPr>
                <w:sz w:val="16"/>
                <w:lang w:val="de-DE"/>
              </w:rPr>
              <w:t>B. Kündigungen), ferner Zustellungen zu bewirken und entgegenzunehmen, die Vollmacht ganz oder teilweise auf andere zu übertragen (Untervollmacht), Rechtsmittel einzulegen, zurückzunehmen oder auf sie zu verzichten, den Rechtsstreit oder außergerichtli</w:t>
            </w:r>
            <w:r>
              <w:rPr>
                <w:sz w:val="16"/>
                <w:lang w:val="de-DE"/>
              </w:rPr>
              <w:softHyphen/>
              <w:t>che Verhandlungen durch Vergleich, Verzicht oder Anerkenntnis zu erledigen, Geld, Wertsachen und Urkunden, insbesondere auch den Streitgegenstand und die von dem Gegner, von der Justizkasse oder von sonstigen Stellen zu erstattenden Beträge entgegenzu</w:t>
            </w:r>
            <w:r>
              <w:rPr>
                <w:sz w:val="16"/>
                <w:lang w:val="de-DE"/>
              </w:rPr>
              <w:softHyphen/>
              <w:t>nehmen oder Akteneinsicht zu nehmen.</w:t>
            </w:r>
          </w:p>
          <w:p w:rsidR="0000577D" w:rsidRDefault="0000577D">
            <w:pPr>
              <w:tabs>
                <w:tab w:val="left" w:pos="7371"/>
              </w:tabs>
              <w:jc w:val="both"/>
              <w:rPr>
                <w:sz w:val="16"/>
                <w:lang w:val="de-DE"/>
              </w:rPr>
            </w:pPr>
          </w:p>
          <w:p w:rsidR="0000577D" w:rsidRDefault="0000577D">
            <w:pPr>
              <w:tabs>
                <w:tab w:val="left" w:pos="7371"/>
              </w:tabs>
              <w:jc w:val="both"/>
              <w:rPr>
                <w:sz w:val="16"/>
                <w:lang w:val="de-DE"/>
              </w:rPr>
            </w:pPr>
            <w:r>
              <w:rPr>
                <w:sz w:val="16"/>
                <w:lang w:val="de-DE"/>
              </w:rPr>
              <w:t>Erfüllungsort für alle Ansprüche aus dem der Vollmacht zugrunde</w:t>
            </w:r>
            <w:r>
              <w:rPr>
                <w:sz w:val="16"/>
                <w:lang w:val="de-DE"/>
              </w:rPr>
              <w:softHyphen/>
              <w:t>liegenden Rechtsverhältnis und Gerichtsstand ist der Ort der Kanzlei der Rechtsanwälte/Patentanwälte.</w:t>
            </w:r>
          </w:p>
          <w:p w:rsidR="0000577D" w:rsidRDefault="0000577D">
            <w:pPr>
              <w:tabs>
                <w:tab w:val="left" w:pos="7371"/>
              </w:tabs>
              <w:jc w:val="both"/>
              <w:rPr>
                <w:sz w:val="16"/>
                <w:lang w:val="de-DE"/>
              </w:rPr>
            </w:pPr>
          </w:p>
          <w:p w:rsidR="0000577D" w:rsidRDefault="0000577D">
            <w:pPr>
              <w:tabs>
                <w:tab w:val="left" w:pos="7371"/>
              </w:tabs>
              <w:jc w:val="both"/>
              <w:rPr>
                <w:sz w:val="16"/>
                <w:lang w:val="de-DE"/>
              </w:rPr>
            </w:pPr>
          </w:p>
          <w:p w:rsidR="0000577D" w:rsidRDefault="0000577D">
            <w:pPr>
              <w:tabs>
                <w:tab w:val="left" w:pos="7371"/>
              </w:tabs>
              <w:jc w:val="both"/>
              <w:rPr>
                <w:sz w:val="16"/>
                <w:lang w:val="de-DE"/>
              </w:rPr>
            </w:pPr>
            <w:r>
              <w:rPr>
                <w:sz w:val="16"/>
                <w:lang w:val="de-DE"/>
              </w:rPr>
              <w:t>Die Vollmacht gilt auch für einen Praxisvertreter (Treuhänder, Abwickler), solange sie diesem gegenüber nicht widerrufen wird.</w:t>
            </w:r>
          </w:p>
          <w:p w:rsidR="0000577D" w:rsidRDefault="0000577D">
            <w:pPr>
              <w:tabs>
                <w:tab w:val="left" w:pos="7371"/>
              </w:tabs>
              <w:jc w:val="both"/>
              <w:rPr>
                <w:sz w:val="16"/>
                <w:lang w:val="de-DE"/>
              </w:rPr>
            </w:pPr>
          </w:p>
          <w:p w:rsidR="0000577D" w:rsidRDefault="0000577D">
            <w:pPr>
              <w:tabs>
                <w:tab w:val="left" w:pos="7371"/>
              </w:tabs>
              <w:jc w:val="both"/>
              <w:rPr>
                <w:sz w:val="16"/>
                <w:lang w:val="de-DE"/>
              </w:rPr>
            </w:pPr>
          </w:p>
          <w:p w:rsidR="0000577D" w:rsidRDefault="0000577D">
            <w:pPr>
              <w:tabs>
                <w:tab w:val="left" w:pos="7371"/>
              </w:tabs>
              <w:jc w:val="both"/>
              <w:rPr>
                <w:sz w:val="16"/>
                <w:lang w:val="de-DE"/>
              </w:rPr>
            </w:pPr>
          </w:p>
          <w:p w:rsidR="0000577D" w:rsidRDefault="0000577D">
            <w:pPr>
              <w:tabs>
                <w:tab w:val="left" w:pos="7371"/>
              </w:tabs>
              <w:jc w:val="both"/>
              <w:rPr>
                <w:sz w:val="16"/>
                <w:lang w:val="de-DE"/>
              </w:rPr>
            </w:pPr>
          </w:p>
          <w:p w:rsidR="0000577D" w:rsidRDefault="0000577D">
            <w:pPr>
              <w:tabs>
                <w:tab w:val="left" w:pos="7371"/>
              </w:tabs>
              <w:jc w:val="both"/>
              <w:rPr>
                <w:sz w:val="16"/>
                <w:lang w:val="de-DE"/>
              </w:rPr>
            </w:pPr>
          </w:p>
          <w:p w:rsidR="0000577D" w:rsidRDefault="0000577D">
            <w:pPr>
              <w:tabs>
                <w:tab w:val="left" w:pos="7371"/>
              </w:tabs>
              <w:jc w:val="both"/>
              <w:rPr>
                <w:sz w:val="16"/>
              </w:rPr>
            </w:pPr>
            <w:r>
              <w:rPr>
                <w:sz w:val="16"/>
              </w:rPr>
              <w:fldChar w:fldCharType="begin">
                <w:ffData>
                  <w:name w:val="Text4"/>
                  <w:enabled/>
                  <w:calcOnExit w:val="0"/>
                  <w:textInput>
                    <w:default w:val="München"/>
                  </w:textInput>
                </w:ffData>
              </w:fldChar>
            </w:r>
            <w:bookmarkStart w:id="1" w:name="Text4"/>
            <w:r>
              <w:rPr>
                <w:sz w:val="16"/>
              </w:rPr>
              <w:instrText xml:space="preserve"> FORMTEXT </w:instrText>
            </w:r>
            <w:r>
              <w:rPr>
                <w:sz w:val="16"/>
              </w:rPr>
            </w:r>
            <w:r>
              <w:rPr>
                <w:sz w:val="16"/>
              </w:rPr>
              <w:fldChar w:fldCharType="separate"/>
            </w:r>
            <w:r>
              <w:rPr>
                <w:noProof/>
                <w:sz w:val="16"/>
              </w:rPr>
              <w:t>München</w:t>
            </w:r>
            <w:r>
              <w:rPr>
                <w:sz w:val="16"/>
              </w:rPr>
              <w:fldChar w:fldCharType="end"/>
            </w:r>
            <w:bookmarkEnd w:id="1"/>
            <w:r>
              <w:rPr>
                <w:sz w:val="16"/>
              </w:rPr>
              <w:t xml:space="preserve">, den </w:t>
            </w:r>
            <w:r>
              <w:rPr>
                <w:sz w:val="16"/>
              </w:rPr>
              <w:fldChar w:fldCharType="begin">
                <w:ffData>
                  <w:name w:val="Text5"/>
                  <w:enabled/>
                  <w:calcOnExit w:val="0"/>
                  <w:textInput/>
                </w:ffData>
              </w:fldChar>
            </w:r>
            <w:bookmarkStart w:id="2" w:name="Text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p>
        </w:tc>
        <w:tc>
          <w:tcPr>
            <w:tcW w:w="4820" w:type="dxa"/>
          </w:tcPr>
          <w:p w:rsidR="0000577D" w:rsidRDefault="0000577D">
            <w:pPr>
              <w:tabs>
                <w:tab w:val="left" w:pos="7371"/>
              </w:tabs>
              <w:jc w:val="both"/>
              <w:rPr>
                <w:sz w:val="16"/>
                <w:lang w:val="en-GB"/>
              </w:rPr>
            </w:pPr>
          </w:p>
          <w:p w:rsidR="0000577D" w:rsidRDefault="0000577D">
            <w:pPr>
              <w:tabs>
                <w:tab w:val="left" w:pos="7371"/>
              </w:tabs>
              <w:jc w:val="both"/>
              <w:rPr>
                <w:sz w:val="16"/>
                <w:lang w:val="en-GB"/>
              </w:rPr>
            </w:pPr>
            <w:r>
              <w:rPr>
                <w:sz w:val="16"/>
                <w:lang w:val="en-GB"/>
              </w:rPr>
              <w:t xml:space="preserve">This power of attorney applies to all levels of the proceedings and covers </w:t>
            </w:r>
            <w:proofErr w:type="gramStart"/>
            <w:r>
              <w:rPr>
                <w:sz w:val="16"/>
                <w:lang w:val="en-GB"/>
              </w:rPr>
              <w:t>also  all</w:t>
            </w:r>
            <w:proofErr w:type="gramEnd"/>
            <w:r>
              <w:rPr>
                <w:sz w:val="16"/>
                <w:lang w:val="en-GB"/>
              </w:rPr>
              <w:t xml:space="preserve"> collateral and  ancillary proceedings (e.g. seizure and preliminary injunction, proceedings concerning the determination of costs, execution proceedings, intervention, compulsory auction ordered by the court, sequestration, as well as deposit proceedings, bankruptcy and arrangement proceedings concerning the opponent’s property). It comprises in particular authorization to act unilaterally (i.e. the external manifestation of intent), and to receive such declarations of intent (e.g. notices of termination); further to effect and accept service, to delegate power of attorney, either completely or partially (substitute power of attorney), to file or withdraw an appeal, or to waiver the right to appeal, to terminate the lawsuit or extrajudicial negotiations by settlement, renunciation or acknowledgement, to receive money, valuables and documents, in particular the object at issue and the costs to be reimbursed by the adversary, the court cashier or third parties or to inspect files.</w:t>
            </w:r>
          </w:p>
          <w:p w:rsidR="0000577D" w:rsidRDefault="0000577D">
            <w:pPr>
              <w:tabs>
                <w:tab w:val="left" w:pos="7371"/>
              </w:tabs>
              <w:jc w:val="both"/>
              <w:rPr>
                <w:sz w:val="16"/>
                <w:lang w:val="en-GB"/>
              </w:rPr>
            </w:pPr>
            <w:r>
              <w:rPr>
                <w:sz w:val="16"/>
                <w:lang w:val="en-GB"/>
              </w:rPr>
              <w:t xml:space="preserve">The place of performance and the legal venue for all claims arising from the legal </w:t>
            </w:r>
            <w:proofErr w:type="gramStart"/>
            <w:r>
              <w:rPr>
                <w:sz w:val="16"/>
                <w:lang w:val="en-GB"/>
              </w:rPr>
              <w:t>relationship</w:t>
            </w:r>
            <w:proofErr w:type="gramEnd"/>
            <w:r>
              <w:rPr>
                <w:sz w:val="16"/>
                <w:lang w:val="en-GB"/>
              </w:rPr>
              <w:t xml:space="preserve"> on which the Power of Attorney is based, is the location of the office of the Attorneys at Law/Patent Attorneys.</w:t>
            </w:r>
          </w:p>
          <w:p w:rsidR="0000577D" w:rsidRDefault="0000577D">
            <w:pPr>
              <w:tabs>
                <w:tab w:val="left" w:pos="7371"/>
              </w:tabs>
              <w:jc w:val="both"/>
              <w:rPr>
                <w:sz w:val="16"/>
                <w:lang w:val="en-GB"/>
              </w:rPr>
            </w:pPr>
            <w:r>
              <w:rPr>
                <w:sz w:val="16"/>
                <w:lang w:val="en-GB"/>
              </w:rPr>
              <w:t>This Power of Attorney also applies to a representative (trustee, liquidator) of the office of the Attorneys at Law/Patent Attorneys unless revoked.</w:t>
            </w:r>
          </w:p>
          <w:p w:rsidR="0000577D" w:rsidRDefault="0000577D">
            <w:pPr>
              <w:tabs>
                <w:tab w:val="left" w:pos="7371"/>
              </w:tabs>
              <w:jc w:val="both"/>
              <w:rPr>
                <w:sz w:val="16"/>
                <w:lang w:val="en-GB"/>
              </w:rPr>
            </w:pPr>
          </w:p>
          <w:p w:rsidR="0000577D" w:rsidRDefault="0000577D">
            <w:pPr>
              <w:tabs>
                <w:tab w:val="left" w:pos="7371"/>
              </w:tabs>
              <w:jc w:val="both"/>
              <w:rPr>
                <w:sz w:val="16"/>
                <w:lang w:val="en-GB"/>
              </w:rPr>
            </w:pPr>
          </w:p>
          <w:p w:rsidR="0000577D" w:rsidRDefault="0000577D">
            <w:pPr>
              <w:tabs>
                <w:tab w:val="left" w:pos="7371"/>
              </w:tabs>
              <w:jc w:val="both"/>
              <w:rPr>
                <w:sz w:val="16"/>
                <w:lang w:val="en-GB"/>
              </w:rPr>
            </w:pPr>
          </w:p>
          <w:p w:rsidR="0000577D" w:rsidRDefault="0000577D">
            <w:pPr>
              <w:tabs>
                <w:tab w:val="left" w:pos="7371"/>
              </w:tabs>
              <w:jc w:val="both"/>
              <w:rPr>
                <w:sz w:val="16"/>
                <w:lang w:val="en-GB"/>
              </w:rPr>
            </w:pPr>
            <w:r>
              <w:rPr>
                <w:sz w:val="16"/>
                <w:lang w:val="en-GB"/>
              </w:rPr>
              <w:t>...................................................................................................</w:t>
            </w:r>
          </w:p>
          <w:p w:rsidR="0000577D" w:rsidRDefault="0000577D">
            <w:pPr>
              <w:tabs>
                <w:tab w:val="left" w:pos="7371"/>
              </w:tabs>
              <w:jc w:val="both"/>
              <w:rPr>
                <w:sz w:val="16"/>
                <w:lang w:val="en-GB"/>
              </w:rPr>
            </w:pPr>
            <w:r>
              <w:rPr>
                <w:sz w:val="16"/>
                <w:lang w:val="en-GB"/>
              </w:rPr>
              <w:fldChar w:fldCharType="begin">
                <w:ffData>
                  <w:name w:val="Text2"/>
                  <w:enabled/>
                  <w:calcOnExit w:val="0"/>
                  <w:textInput/>
                </w:ffData>
              </w:fldChar>
            </w:r>
            <w:bookmarkStart w:id="3" w:name="Text2"/>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bookmarkEnd w:id="3"/>
          </w:p>
        </w:tc>
      </w:tr>
      <w:tr w:rsidR="0000577D">
        <w:trPr>
          <w:gridAfter w:val="1"/>
          <w:wAfter w:w="28" w:type="dxa"/>
          <w:cantSplit/>
        </w:trPr>
        <w:tc>
          <w:tcPr>
            <w:tcW w:w="4933" w:type="dxa"/>
          </w:tcPr>
          <w:p w:rsidR="0000577D" w:rsidRDefault="0000577D">
            <w:pPr>
              <w:tabs>
                <w:tab w:val="left" w:pos="7371"/>
              </w:tabs>
              <w:rPr>
                <w:sz w:val="12"/>
                <w:lang w:val="fr-FR"/>
              </w:rPr>
            </w:pPr>
            <w:r>
              <w:rPr>
                <w:sz w:val="12"/>
                <w:lang w:val="fr-FR"/>
              </w:rPr>
              <w:t>Ort/Place; Datum/Date</w:t>
            </w:r>
          </w:p>
        </w:tc>
        <w:tc>
          <w:tcPr>
            <w:tcW w:w="4820" w:type="dxa"/>
          </w:tcPr>
          <w:p w:rsidR="0000577D" w:rsidRDefault="0000577D">
            <w:pPr>
              <w:tabs>
                <w:tab w:val="left" w:pos="7371"/>
              </w:tabs>
              <w:rPr>
                <w:sz w:val="12"/>
                <w:lang w:val="de-DE"/>
              </w:rPr>
            </w:pPr>
            <w:r>
              <w:rPr>
                <w:sz w:val="12"/>
                <w:lang w:val="de-DE"/>
              </w:rPr>
              <w:t>Unterschrift/Signature</w:t>
            </w:r>
          </w:p>
          <w:p w:rsidR="0000577D" w:rsidRDefault="0000577D">
            <w:pPr>
              <w:tabs>
                <w:tab w:val="left" w:pos="7371"/>
              </w:tabs>
              <w:rPr>
                <w:sz w:val="12"/>
                <w:lang w:val="de-DE"/>
              </w:rPr>
            </w:pPr>
          </w:p>
          <w:p w:rsidR="0000577D" w:rsidRPr="00FD19DE" w:rsidRDefault="0000577D">
            <w:pPr>
              <w:tabs>
                <w:tab w:val="left" w:pos="7371"/>
              </w:tabs>
              <w:rPr>
                <w:sz w:val="12"/>
              </w:rPr>
            </w:pPr>
            <w:r>
              <w:rPr>
                <w:sz w:val="12"/>
                <w:lang w:val="de-DE"/>
              </w:rPr>
              <w:t>(</w:t>
            </w:r>
            <w:r>
              <w:rPr>
                <w:b/>
                <w:sz w:val="12"/>
                <w:lang w:val="de-DE"/>
              </w:rPr>
              <w:t>Bei Personen</w:t>
            </w:r>
            <w:r>
              <w:rPr>
                <w:sz w:val="12"/>
                <w:lang w:val="de-DE"/>
              </w:rPr>
              <w:t xml:space="preserve"> Namen und Vornamen voll ausschreiben; </w:t>
            </w:r>
            <w:r>
              <w:rPr>
                <w:b/>
                <w:sz w:val="12"/>
                <w:lang w:val="de-DE"/>
              </w:rPr>
              <w:t>bei Firmen</w:t>
            </w:r>
            <w:r>
              <w:rPr>
                <w:sz w:val="12"/>
                <w:lang w:val="de-DE"/>
              </w:rPr>
              <w:t xml:space="preserve"> die eingetragene Firmenbezeichnung genau angeben. </w:t>
            </w:r>
            <w:proofErr w:type="spellStart"/>
            <w:r w:rsidRPr="00FD19DE">
              <w:rPr>
                <w:sz w:val="12"/>
              </w:rPr>
              <w:t>Keine</w:t>
            </w:r>
            <w:proofErr w:type="spellEnd"/>
            <w:r w:rsidRPr="00FD19DE">
              <w:rPr>
                <w:sz w:val="12"/>
              </w:rPr>
              <w:t xml:space="preserve"> </w:t>
            </w:r>
            <w:proofErr w:type="spellStart"/>
            <w:r w:rsidRPr="00FD19DE">
              <w:rPr>
                <w:sz w:val="12"/>
              </w:rPr>
              <w:t>Beglaubigung</w:t>
            </w:r>
            <w:proofErr w:type="spellEnd"/>
            <w:r w:rsidRPr="00FD19DE">
              <w:rPr>
                <w:sz w:val="12"/>
              </w:rPr>
              <w:t xml:space="preserve"> </w:t>
            </w:r>
            <w:proofErr w:type="spellStart"/>
            <w:r w:rsidRPr="00FD19DE">
              <w:rPr>
                <w:sz w:val="12"/>
              </w:rPr>
              <w:t>erforderlich</w:t>
            </w:r>
            <w:proofErr w:type="spellEnd"/>
            <w:r w:rsidRPr="00FD19DE">
              <w:rPr>
                <w:sz w:val="12"/>
              </w:rPr>
              <w:t>.)</w:t>
            </w:r>
          </w:p>
          <w:p w:rsidR="0000577D" w:rsidRPr="00FD19DE" w:rsidRDefault="0000577D">
            <w:pPr>
              <w:tabs>
                <w:tab w:val="left" w:pos="7371"/>
              </w:tabs>
              <w:rPr>
                <w:sz w:val="12"/>
              </w:rPr>
            </w:pPr>
          </w:p>
          <w:p w:rsidR="0000577D" w:rsidRDefault="0000577D">
            <w:pPr>
              <w:tabs>
                <w:tab w:val="left" w:pos="7371"/>
              </w:tabs>
              <w:rPr>
                <w:sz w:val="12"/>
              </w:rPr>
            </w:pPr>
            <w:r>
              <w:rPr>
                <w:sz w:val="12"/>
              </w:rPr>
              <w:t>(First names and surnames of</w:t>
            </w:r>
            <w:r>
              <w:rPr>
                <w:b/>
                <w:sz w:val="12"/>
              </w:rPr>
              <w:t xml:space="preserve"> individuals</w:t>
            </w:r>
            <w:r>
              <w:rPr>
                <w:sz w:val="12"/>
              </w:rPr>
              <w:t xml:space="preserve"> are to be written in full; </w:t>
            </w:r>
            <w:r>
              <w:rPr>
                <w:b/>
                <w:sz w:val="12"/>
              </w:rPr>
              <w:t>corporate bodies</w:t>
            </w:r>
            <w:r>
              <w:rPr>
                <w:sz w:val="12"/>
              </w:rPr>
              <w:t xml:space="preserve"> shall sign in the form in which they are registered. No legalization required. </w:t>
            </w:r>
          </w:p>
        </w:tc>
      </w:tr>
    </w:tbl>
    <w:p w:rsidR="0000577D" w:rsidRDefault="0000577D">
      <w:pPr>
        <w:tabs>
          <w:tab w:val="left" w:pos="7371"/>
        </w:tabs>
        <w:jc w:val="both"/>
      </w:pPr>
    </w:p>
    <w:sectPr w:rsidR="0000577D">
      <w:pgSz w:w="11907" w:h="16840" w:code="9"/>
      <w:pgMar w:top="284" w:right="567" w:bottom="369" w:left="1304" w:header="284" w:footer="284" w:gutter="0"/>
      <w:paperSrc w:first="1"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intFractionalCharacterWidth/>
  <w:hideSpellingErrors/>
  <w:hideGrammaticalError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7D"/>
    <w:rsid w:val="0000577D"/>
    <w:rsid w:val="00272200"/>
    <w:rsid w:val="00302DE8"/>
    <w:rsid w:val="003672F7"/>
    <w:rsid w:val="00A9039C"/>
    <w:rsid w:val="00C64E4C"/>
    <w:rsid w:val="00FD19D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1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9039C"/>
    <w:rPr>
      <w:rFonts w:ascii="Lucida Grande" w:hAnsi="Lucida Grande"/>
      <w:szCs w:val="18"/>
    </w:rPr>
  </w:style>
  <w:style w:type="character" w:customStyle="1" w:styleId="SprechblasentextZchn">
    <w:name w:val="Sprechblasentext Zchn"/>
    <w:basedOn w:val="Absatz-Standardschriftart"/>
    <w:link w:val="Sprechblasentext"/>
    <w:uiPriority w:val="99"/>
    <w:semiHidden/>
    <w:rsid w:val="00A9039C"/>
    <w:rPr>
      <w:rFonts w:ascii="Lucida Grande" w:hAnsi="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1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9039C"/>
    <w:rPr>
      <w:rFonts w:ascii="Lucida Grande" w:hAnsi="Lucida Grande"/>
      <w:szCs w:val="18"/>
    </w:rPr>
  </w:style>
  <w:style w:type="character" w:customStyle="1" w:styleId="SprechblasentextZchn">
    <w:name w:val="Sprechblasentext Zchn"/>
    <w:basedOn w:val="Absatz-Standardschriftart"/>
    <w:link w:val="Sprechblasentext"/>
    <w:uiPriority w:val="99"/>
    <w:semiHidden/>
    <w:rsid w:val="00A9039C"/>
    <w:rPr>
      <w:rFonts w:ascii="Lucida Grande" w:hAnsi="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5228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Power of Attorney/allgem. Vollmacht</vt:lpstr>
    </vt:vector>
  </TitlesOfParts>
  <Company>justitia PartGmbB</Company>
  <LinksUpToDate>false</LinksUpToDate>
  <CharactersWithSpaces>6045</CharactersWithSpaces>
  <SharedDoc>false</SharedDoc>
  <HyperlinkBase/>
  <HLinks>
    <vt:vector size="6" baseType="variant">
      <vt:variant>
        <vt:i4>5308425</vt:i4>
      </vt:variant>
      <vt:variant>
        <vt:i4>7793</vt:i4>
      </vt:variant>
      <vt:variant>
        <vt:i4>1025</vt:i4>
      </vt:variant>
      <vt:variant>
        <vt:i4>1</vt:i4>
      </vt:variant>
      <vt:variant>
        <vt:lpwstr>C:\Homepage\justitia.com\www\Anwalt\Bilder\Logoklein.jpg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Attorney/allgem. Vollmacht</dc:title>
  <dc:creator>Heene</dc:creator>
  <cp:lastModifiedBy>Monika Gutberlet</cp:lastModifiedBy>
  <cp:revision>2</cp:revision>
  <cp:lastPrinted>1999-12-20T08:20:00Z</cp:lastPrinted>
  <dcterms:created xsi:type="dcterms:W3CDTF">2013-12-31T07:36:00Z</dcterms:created>
  <dcterms:modified xsi:type="dcterms:W3CDTF">2013-12-31T07:36:00Z</dcterms:modified>
</cp:coreProperties>
</file>